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5df085b00780bf93680aa763f30c90e5120db"/>
    <w:p>
      <w:pPr>
        <w:pStyle w:val="Heading3"/>
      </w:pPr>
      <w:r>
        <w:t xml:space="preserve">Распоряжение управы Нагорного района города Москвы "Об утверждении Порядка проведения антикоррупционной экспертизы нормативных правовых актов и проектов нормативных правовых актов управы Нагорного района города Москвы "</w:t>
      </w:r>
    </w:p>
    <w:p>
      <w:pPr>
        <w:pStyle w:val="FirstParagraph"/>
      </w:pPr>
      <w:r>
        <w:t xml:space="preserve">02.07.2014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http://nagorny.mos.ru/anti-corruption/anti-corruption-expertise/detail/1136905.html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anti-corruption-expertise/detail/1136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anti-corruption-expertise/detail/1136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2025-03-23T14:36:22Z</dcterms:created>
  <dcterms:modified xsi:type="dcterms:W3CDTF">2025-03-23T14:36:22Z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