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8795cb6ed6e4c0a0e4550c9e36619695a3614"/>
    <w:p>
      <w:pPr>
        <w:pStyle w:val="Heading3"/>
      </w:pPr>
      <w:r>
        <w:t xml:space="preserve">ПАМЯТКА управы Нагорного района города Москвы об основах антикоррупционного поведения государственных гражданских служащих</w:t>
      </w:r>
    </w:p>
    <w:p>
      <w:pPr>
        <w:pStyle w:val="FirstParagraph"/>
      </w:pPr>
      <w:r>
        <w:t xml:space="preserve">23.05.2014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http://nagorny.mos.ru/anti-corruption/methodical-material/detail/1121882.html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methodical-material/detail/1121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methodical-material/detail/1121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2025-03-17T20:35:14Z</dcterms:created>
  <dcterms:modified xsi:type="dcterms:W3CDTF">2025-03-17T20:35:14Z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