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типовая-декларация-конфликта-интересов"/>
    <w:p>
      <w:pPr>
        <w:pStyle w:val="Heading3"/>
      </w:pPr>
      <w:r>
        <w:t xml:space="preserve">Типовая декларация конфликта интересов</w:t>
      </w:r>
    </w:p>
    <w:p>
      <w:pPr>
        <w:pStyle w:val="FirstParagraph"/>
      </w:pPr>
      <w:r>
        <w:t xml:space="preserve">23.05.2014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http://nagorny.mos.ru/anti-corruption/methodical-material/detail/1121886.html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methodical-material/detail/11218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methodical-material/detail/11218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2025-02-27T11:21:48Z</dcterms:created>
  <dcterms:modified xsi:type="dcterms:W3CDTF">2025-02-27T11:21:48Z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