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1640985e4255e91d846a916c77229af4886b6"/>
    <w:p>
      <w:pPr>
        <w:pStyle w:val="Heading3"/>
      </w:pPr>
      <w:r>
        <w:t xml:space="preserve">Памятка Государственному гражданскому служащему об основах антикоррупционного поведения</w:t>
      </w:r>
    </w:p>
    <w:p>
      <w:pPr>
        <w:pStyle w:val="FirstParagraph"/>
      </w:pPr>
      <w:r>
        <w:t xml:space="preserve">23.05.2014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http://nagorny.mos.ru/anti-corruption/methodical-material/detail/1121894.html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methodical-material/detail/1121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2025-07-20T19:54:11Z</dcterms:created>
  <dcterms:modified xsi:type="dcterms:W3CDTF">2025-07-20T19:54:11Z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