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ы-против-коррупции-на-дорогах"/>
    <w:p>
      <w:pPr>
        <w:pStyle w:val="Heading3"/>
      </w:pPr>
      <w:r>
        <w:t xml:space="preserve">Мы против коррупции на дорогах</w:t>
      </w:r>
    </w:p>
    <w:p>
      <w:pPr>
        <w:pStyle w:val="FirstParagraph"/>
      </w:pPr>
      <w:r>
        <w:t xml:space="preserve">18.01.2019</w:t>
      </w:r>
    </w:p>
    <w:p>
      <w:pPr>
        <w:pStyle w:val="BodyText"/>
      </w:pPr>
      <w:r>
        <w:t xml:space="preserve">Мы против коррупции на дорогах.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http://nagorny.mos.ru/anti-corruption/methodical-material/detail/7828323.html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anti-corruption/methodical-material/detail/782832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anti-corruption/methodical-material/detail/782832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2025-04-04T22:40:09Z</dcterms:created>
  <dcterms:modified xsi:type="dcterms:W3CDTF">2025-04-04T22:40:09Z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