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cf717902dfdd97ff874c4c33d8d981cd9a467"/>
    <w:p>
      <w:pPr>
        <w:pStyle w:val="Heading3"/>
      </w:pPr>
      <w:r>
        <w:t xml:space="preserve">Потребление электроэнергии в энергосистеме г. Москвы и Московской области в апреле 2020 года снизилось на 4,2 % по сравнению с апрелем 2019 года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г. Москвы и Московской области» (Московское РДУ), потребление электроэнергии в энергосистеме г. Москвы и Московской области (Московской энергосистеме) в апреле 2020 года составило 8329,5 млн кВт∙ч, что на 368,8 млн кВт∙ч меньше аналогичного показателя 2019 года.</w:t>
      </w:r>
    </w:p>
    <w:p>
      <w:pPr>
        <w:pStyle w:val="BodyText"/>
      </w:pPr>
      <w:r>
        <w:t xml:space="preserve">Электростанции Московской энергосистемы в апреле 2020 года выработали 5196,3 млн кВт∙ч, что на 16,3 % меньше, чем за тот же месяц 2019 года.</w:t>
      </w:r>
    </w:p>
    <w:p>
      <w:pPr>
        <w:pStyle w:val="BodyText"/>
      </w:pPr>
      <w:r>
        <w:t xml:space="preserve">Потребление электроэнергии в энергосистеме г. Москвы и Московской области в январе – апреле 2020 года составило 37734,9 млн кВт∙ч, что на 3,0 % меньше аналогичного показателя 2019 года (без учета 29 февраля 2020 года – на 3,8 %).</w:t>
      </w:r>
    </w:p>
    <w:p>
      <w:pPr>
        <w:pStyle w:val="BodyText"/>
      </w:pPr>
      <w:r>
        <w:t xml:space="preserve">Выработка электроэнергии в Московской энергосистеме за первые четыре месяца 2020 года составила 25353,0 млн кВт∙ч, что на 10,7 % меньше, чем с января по апрель 2019 года (без учета 29 февраля 2020 года на 11,4 %).</w:t>
      </w:r>
    </w:p>
    <w:p>
      <w:pPr>
        <w:pStyle w:val="BodyText"/>
      </w:pPr>
      <w:r>
        <w:t xml:space="preserve">Дефицит произведенной электроэнергии на территории энергосистемы г. Москвы и Московской области покрывался за счет перетоков электроэнергии по межсистемным линиям электропередачи из смежных энергосистем. Суммарный переток в Московскую энергосистему в апреле 2020 года составил 3133,1 млн кВт∙ч, за январь – апрель 2020 года, данный показатель составил 12381,9 млн кВт∙ч. В апреле и январе – апреле 2019 переток в энергосистему составил 2491,5 млн кВт∙ч и 10504,4 млн кВт∙ч соответственно.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Московское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г. Москвы и Московской области» (Московское РДУ) осуществляет функции оперативно-диспетчерского управления объектами электроэнергетики на территории г. Москвы и Московской области. Входит в зону операционной деятельности Филиала АО «СО ЕЭС» ОДУ Центра. Филиал создан в 2003 году. Территория операционной зоны расположена на площади 47,0 тыс. кв. км с населением 20,2 млн чел. В операционную зону Московского РДУ по состоянию на 1 мая 2020 года входят 51 электростанция общей установленной мощностью 16792 МВт. Наиболее крупными из них являются ТЭЦ-21, ТЭЦ-23, ТЭЦ-25, ТЭЦ-26 ПАО «Мосэнерго», Шатурская ГРЭС ПАО «Юнипро», Загорская ГАЭС ПАО «РусГидро». В электроэнергетический комплекс г. Москвы и Московской области входят также 1059 ЛЭП напряжением 110–750 кВ, 403 трансформаторные подстанции и распределительных устройства электростанций с суммарной мощностью трансформаторов 90498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52798 МВт (по данным на 01.05.2020). Площадь территории операционной зоны ОДУ Центра – 794,7 тыс. кв. км, в городах и населенных пунктах, расположенных на ней, проживает 40,6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685-86-02,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http://nagorny.mos.ru/housing-and-communal-services-and-improvement/energy-saving/detail/8892996.html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892996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892996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2025-02-28T03:35:10Z</dcterms:created>
  <dcterms:modified xsi:type="dcterms:W3CDTF">2025-02-28T03:35:10Z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