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e87e72ff723580bd63163e0d400ee8af6393c"/>
    <w:p>
      <w:pPr>
        <w:pStyle w:val="Heading3"/>
      </w:pPr>
      <w:r>
        <w:t xml:space="preserve">4 мая 2023 года в Нагорном районе города Москвы состоялась мемориально-патронатная акция у памятника, установленного в честь 60-летия Победы в Великой Отечественной войне</w:t>
      </w:r>
    </w:p>
    <w:p>
      <w:pPr>
        <w:pStyle w:val="FirstParagraph"/>
      </w:pPr>
      <w:r>
        <w:t xml:space="preserve">07.05.2023</w:t>
      </w:r>
    </w:p>
    <w:p>
      <w:pPr>
        <w:pStyle w:val="BodyText"/>
      </w:pPr>
      <w:r>
        <w:t xml:space="preserve">В Нагорном районе города Москвы состоялась мемориально-патронатная акция у памятника, установленного в честь 60-летия Победы в Великой Отечественной войне, на котором участие приняли Совет ветеранов Нагорного района, управа Нагорного района, Молодежная палата нагорного района и ученики частной школы "Выбор"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http://nagorny.mos.ru/presscenter/news-regions/detail/11575534.html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575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575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2024-07-14T19:17:44Z</dcterms:created>
  <dcterms:modified xsi:type="dcterms:W3CDTF">2024-07-14T19:17:44Z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