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46540af5c61436ff3b0dcccd333fa17a240b3"/>
    <w:p>
      <w:pPr>
        <w:pStyle w:val="Heading3"/>
      </w:pPr>
      <w:r>
        <w:t xml:space="preserve">6 мая 2023 года в Нагорном районе на Изютинском пруду прошло мероприятие "Победителю солдату посвящается..."</w:t>
      </w:r>
    </w:p>
    <w:p>
      <w:pPr>
        <w:pStyle w:val="FirstParagraph"/>
      </w:pPr>
      <w:r>
        <w:t xml:space="preserve">07.05.2023</w:t>
      </w:r>
    </w:p>
    <w:p>
      <w:pPr>
        <w:pStyle w:val="BodyText"/>
      </w:pPr>
      <w:r>
        <w:t xml:space="preserve">В Нагорном районе на Изютинском пруду прошло мероприятие "Победителю солдату посвящается...", в концертной программе выступили воспитанники ГБОУ Школа № 1862 с танцевальными и вокальными номерам, и спортивная секция ГБУ ЦД "Личность" Киокушинкай, а также маленьких гостей праздника порадовали мастер-классы и дартс.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http://nagorny.mos.ru/presscenter/news-regions/detail/11575540.html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575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575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2025-07-20T07:58:24Z</dcterms:created>
  <dcterms:modified xsi:type="dcterms:W3CDTF">2025-07-20T07:58:24Z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