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cda0889c5c81f326e813af40709eda17bdcfd4"/>
    <w:p>
      <w:pPr>
        <w:pStyle w:val="Heading3"/>
      </w:pPr>
      <w:r>
        <w:t xml:space="preserve">Для жителей Москвы открыты "Мобильные приемные" по вопросам отдыха и оздоровления</w:t>
      </w:r>
    </w:p>
    <w:p>
      <w:pPr>
        <w:pStyle w:val="FirstParagraph"/>
      </w:pPr>
      <w:r>
        <w:t xml:space="preserve">16.04.2015</w:t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04a/5530ac2bb69dd9.512111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efb/5530ac2bb87057.3977348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http://nagorny.mos.ru/presscenter/news-regions/detail/1748137.html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agorny.mos.ru" TargetMode="External" /><Relationship Type="http://schemas.openxmlformats.org/officeDocument/2006/relationships/hyperlink" Id="rId26" Target="http://nagorny.mos.ru/presscenter/news-regions/detail/1748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agorny.mos.ru" TargetMode="External" /><Relationship Type="http://schemas.openxmlformats.org/officeDocument/2006/relationships/hyperlink" Id="rId26" Target="http://nagorny.mos.ru/presscenter/news-regions/detail/1748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2023-12-17T22:23:08Z</dcterms:created>
  <dcterms:modified xsi:type="dcterms:W3CDTF">2023-12-17T22:23:08Z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