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20aeb051dc1756da2a68894cfe233952e53d7e"/>
    <w:p>
      <w:pPr>
        <w:pStyle w:val="Heading3"/>
      </w:pPr>
      <w:r>
        <w:t xml:space="preserve">Проект межевания территории квартала, ограниченного: Нахимовским проспектом, Варшавским шоссе, улицей Фруктовой, Симферопольским бульваром</w:t>
      </w:r>
    </w:p>
    <w:p>
      <w:pPr>
        <w:pStyle w:val="FirstParagraph"/>
      </w:pPr>
      <w:r>
        <w:t xml:space="preserve">14.10.2016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http://nagorny.mos.ru/presscenter/news-regions/detail/3949930.html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Нагорного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orny.mos.ru" TargetMode="External" /><Relationship Type="http://schemas.openxmlformats.org/officeDocument/2006/relationships/hyperlink" Id="rId20" Target="http://nagorny.mos.ru/presscenter/news-regions/detail/39499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orny.mos.ru" TargetMode="External" /><Relationship Type="http://schemas.openxmlformats.org/officeDocument/2006/relationships/hyperlink" Id="rId20" Target="http://nagorny.mos.ru/presscenter/news-regions/detail/39499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2025-03-03T19:53:18Z</dcterms:created>
  <dcterms:modified xsi:type="dcterms:W3CDTF">2025-03-03T19:53:18Z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