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63c975c35871e541d9356c8fcf1c400d06f379"/>
    <w:p>
      <w:pPr>
        <w:pStyle w:val="Heading3"/>
      </w:pPr>
      <w:r>
        <w:t xml:space="preserve">Проект планировки территории между ТПУ «Крымская» и ТРЦ «РИО»</w:t>
      </w:r>
    </w:p>
    <w:p>
      <w:pPr>
        <w:pStyle w:val="FirstParagraph"/>
      </w:pPr>
      <w:r>
        <w:t xml:space="preserve">13.03.2020</w:t>
      </w:r>
    </w:p>
    <w:p>
      <w:pPr>
        <w:pStyle w:val="BodyText"/>
      </w:pPr>
      <w:r>
        <w:t xml:space="preserve">Проект планировки территории</w:t>
      </w:r>
      <w:r>
        <w:t xml:space="preserve"> </w:t>
      </w:r>
      <w:r>
        <w:rPr>
          <w:bCs/>
          <w:b/>
        </w:rPr>
        <w:t xml:space="preserve">между ТПУ «Крымская» и ТРЦ «РИО»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http://nagorny.mos.ru/presscenter/news-regions/detail/8756141.html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87561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87561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2025-03-26T02:46:30Z</dcterms:created>
  <dcterms:modified xsi:type="dcterms:W3CDTF">2025-03-26T02:46:30Z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