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32.jpg" ContentType="image/jpeg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ff9699de9dc8f3de5c46a280c60e4d9aa47b246"/>
    <w:p>
      <w:pPr>
        <w:pStyle w:val="Heading3"/>
      </w:pPr>
      <w:r>
        <w:t xml:space="preserve">Наглядные графические материалы, разработанные межведомственной рабочей группой ГАК по вопросам профилактики незаконного потребления наркотических средств и психотропных веществ.</w:t>
      </w:r>
    </w:p>
    <w:p>
      <w:pPr>
        <w:pStyle w:val="FirstParagraph"/>
      </w:pPr>
      <w:r>
        <w:t xml:space="preserve">17.03.2025</w:t>
      </w:r>
    </w:p>
    <w:p>
      <w:pPr>
        <w:pStyle w:val="BodyText"/>
      </w:pPr>
      <w:r>
        <w:drawing>
          <wp:inline>
            <wp:extent cx="5334000" cy="37739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Плакат_борьба_с_наркотиками_1_чек_лист_2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3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394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nagorny.mos.ru/www/Плакат_борьба_с_наркотиками_правленный_2_плакат_page-00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3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394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nagorny.mos.ru/www/Уголовная_и_административная_ответственность_page-0001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3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394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nagorny.mos.ru/www/Алгоритм_действий_при_вявлении_page-000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3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394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nagorny.mos.ru/www/Краткая_информация_по_диагностике_page-0001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3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http://nagorny.mos.ru/safety-and-security/antinarkoticheskaya-komissiya/pdrg-po-profilaktike-narkomanii/detail/12859598.html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6" Target="http://nagorny.mos.ru" TargetMode="External" /><Relationship Type="http://schemas.openxmlformats.org/officeDocument/2006/relationships/hyperlink" Id="rId35" Target="http://nagorny.mos.ru/safety-and-security/antinarkoticheskaya-komissiya/pdrg-po-profilaktike-narkomanii/detail/128595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nagorny.mos.ru" TargetMode="External" /><Relationship Type="http://schemas.openxmlformats.org/officeDocument/2006/relationships/hyperlink" Id="rId35" Target="http://nagorny.mos.ru/safety-and-security/antinarkoticheskaya-komissiya/pdrg-po-profilaktike-narkomanii/detail/128595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2025-07-19T06:40:59Z</dcterms:created>
  <dcterms:modified xsi:type="dcterms:W3CDTF">2025-07-19T06:40:59Z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